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25" w:rsidRPr="003A1612" w:rsidRDefault="008D5C25" w:rsidP="008D5C25">
      <w:pPr>
        <w:widowControl/>
        <w:shd w:val="clear" w:color="auto" w:fill="FFFFFF"/>
        <w:snapToGrid w:val="0"/>
        <w:spacing w:line="340" w:lineRule="exact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0" w:name="_GoBack"/>
      <w:bookmarkEnd w:id="0"/>
      <w:r w:rsidRPr="003A1612">
        <w:rPr>
          <w:rFonts w:ascii="標楷體" w:eastAsia="標楷體" w:hAnsi="標楷體" w:cs="新細明體" w:hint="eastAsia"/>
          <w:b/>
          <w:bCs/>
          <w:kern w:val="0"/>
          <w:szCs w:val="24"/>
        </w:rPr>
        <w:t>臺</w:t>
      </w:r>
      <w:r w:rsidRPr="003A161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北市協和祐德高級中學性別平等教育實施規定</w:t>
      </w:r>
    </w:p>
    <w:p w:rsidR="008D5C25" w:rsidRPr="003A1612" w:rsidRDefault="008D5C25" w:rsidP="003553C5">
      <w:pPr>
        <w:widowControl/>
        <w:shd w:val="clear" w:color="auto" w:fill="FFFFFF"/>
        <w:snapToGrid w:val="0"/>
        <w:spacing w:line="0" w:lineRule="atLeast"/>
        <w:ind w:right="-23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 xml:space="preserve">　　　　　　　　　　　　　　　　　　　　  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 xml:space="preserve">　</w:t>
      </w:r>
      <w:r w:rsidRPr="003A1612">
        <w:rPr>
          <w:rFonts w:ascii="標楷體" w:eastAsia="標楷體" w:hAnsi="標楷體" w:cs="新細明體" w:hint="eastAsia"/>
          <w:kern w:val="0"/>
          <w:sz w:val="20"/>
          <w:szCs w:val="20"/>
        </w:rPr>
        <w:t>108年8月28日校務會議追認通過訂定</w:t>
      </w:r>
    </w:p>
    <w:p w:rsidR="008D5C25" w:rsidRDefault="008D5C25" w:rsidP="003553C5">
      <w:pPr>
        <w:widowControl/>
        <w:shd w:val="clear" w:color="auto" w:fill="FFFFFF"/>
        <w:snapToGrid w:val="0"/>
        <w:spacing w:line="0" w:lineRule="atLeast"/>
        <w:ind w:right="-23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 w:rsidRPr="003A161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                                          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</w:t>
      </w:r>
      <w:r w:rsidRPr="003A1612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109年8月27日校務會議通過修訂</w:t>
      </w:r>
    </w:p>
    <w:p w:rsidR="002B57C3" w:rsidRDefault="0038346C" w:rsidP="003553C5">
      <w:pPr>
        <w:widowControl/>
        <w:shd w:val="clear" w:color="auto" w:fill="FFFFFF"/>
        <w:snapToGrid w:val="0"/>
        <w:spacing w:line="0" w:lineRule="atLeast"/>
        <w:ind w:right="-23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                 </w:t>
      </w:r>
      <w:r w:rsidR="003553C5"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                   114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年</w:t>
      </w:r>
      <w:r w:rsidR="003553C5">
        <w:rPr>
          <w:rFonts w:ascii="標楷體" w:eastAsia="標楷體" w:hAnsi="標楷體" w:cs="新細明體" w:hint="eastAsia"/>
          <w:kern w:val="0"/>
          <w:sz w:val="20"/>
          <w:szCs w:val="20"/>
        </w:rPr>
        <w:t>12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月</w:t>
      </w:r>
      <w:r w:rsidR="003553C5">
        <w:rPr>
          <w:rFonts w:ascii="標楷體" w:eastAsia="標楷體" w:hAnsi="標楷體" w:cs="新細明體" w:hint="eastAsia"/>
          <w:kern w:val="0"/>
          <w:sz w:val="20"/>
          <w:szCs w:val="20"/>
        </w:rPr>
        <w:t>17</w:t>
      </w:r>
      <w:r>
        <w:rPr>
          <w:rFonts w:ascii="標楷體" w:eastAsia="標楷體" w:hAnsi="標楷體" w:cs="新細明體" w:hint="eastAsia"/>
          <w:kern w:val="0"/>
          <w:sz w:val="20"/>
          <w:szCs w:val="20"/>
        </w:rPr>
        <w:t>日行政會議通過</w:t>
      </w:r>
      <w:r w:rsidR="003553C5">
        <w:rPr>
          <w:rFonts w:ascii="標楷體" w:eastAsia="標楷體" w:hAnsi="標楷體" w:cs="新細明體" w:hint="eastAsia"/>
          <w:kern w:val="0"/>
          <w:sz w:val="20"/>
          <w:szCs w:val="20"/>
        </w:rPr>
        <w:t>修訂</w:t>
      </w:r>
    </w:p>
    <w:p w:rsidR="003553C5" w:rsidRDefault="003553C5" w:rsidP="003553C5">
      <w:pPr>
        <w:widowControl/>
        <w:shd w:val="clear" w:color="auto" w:fill="FFFFFF"/>
        <w:snapToGrid w:val="0"/>
        <w:spacing w:line="0" w:lineRule="atLeast"/>
        <w:ind w:right="-23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                                              114年12月17日性平會通過修訂</w:t>
      </w:r>
    </w:p>
    <w:p w:rsidR="003553C5" w:rsidRPr="002B57C3" w:rsidRDefault="003553C5" w:rsidP="003553C5">
      <w:pPr>
        <w:widowControl/>
        <w:shd w:val="clear" w:color="auto" w:fill="FFFFFF"/>
        <w:snapToGrid w:val="0"/>
        <w:spacing w:line="0" w:lineRule="atLeast"/>
        <w:ind w:right="-23"/>
        <w:jc w:val="both"/>
        <w:rPr>
          <w:rFonts w:ascii="標楷體" w:eastAsia="標楷體" w:hAnsi="標楷體" w:cs="新細明體"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kern w:val="0"/>
          <w:sz w:val="20"/>
          <w:szCs w:val="20"/>
        </w:rPr>
        <w:t xml:space="preserve">                                                   暫定115年1月20日校務會議通過修訂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-117" w:left="144" w:hangingChars="177" w:hanging="425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一、為促進性別地位之實質平等，消除性別歧視，維護人格尊嚴，厚植並建立性別平等教育之資源與環境，依性別平等教育法(以下稱本法)</w:t>
      </w:r>
      <w:r w:rsidR="0038346C">
        <w:rPr>
          <w:rFonts w:ascii="標楷體" w:eastAsia="標楷體" w:hAnsi="標楷體" w:cs="新細明體" w:hint="eastAsia"/>
          <w:kern w:val="0"/>
          <w:szCs w:val="24"/>
        </w:rPr>
        <w:t>第十二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條訂定之。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133" w:left="0" w:hangingChars="133" w:hanging="319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二、實施對象：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-60" w:left="283" w:hangingChars="178" w:hanging="427"/>
        <w:jc w:val="both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(一)教育人員：包括本</w:t>
      </w:r>
      <w:r w:rsidRPr="003A1612">
        <w:rPr>
          <w:rFonts w:ascii="標楷體" w:eastAsia="標楷體" w:hAnsi="標楷體" w:cs="新細明體"/>
          <w:kern w:val="0"/>
          <w:szCs w:val="24"/>
        </w:rPr>
        <w:t>校校長、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教師（含代理老師、實習老師）</w:t>
      </w:r>
      <w:r w:rsidRPr="003A1612">
        <w:rPr>
          <w:rFonts w:ascii="標楷體" w:eastAsia="標楷體" w:hAnsi="標楷體" w:cs="新細明體"/>
          <w:kern w:val="0"/>
          <w:szCs w:val="24"/>
        </w:rPr>
        <w:t>、職員、工友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、約僱人員。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-177" w:hangingChars="177" w:hanging="425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 xml:space="preserve">  (二)</w:t>
      </w:r>
      <w:r w:rsidRPr="003A1612">
        <w:rPr>
          <w:rFonts w:ascii="標楷體" w:eastAsia="標楷體" w:hAnsi="標楷體" w:cs="新細明體"/>
          <w:kern w:val="0"/>
          <w:szCs w:val="24"/>
        </w:rPr>
        <w:t>學生：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本校全體學生。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132" w:left="144" w:hangingChars="192" w:hanging="461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三、本性別平等教育實施規定（以下簡稱本規定）所稱性別平等教育，係指以教育方式消除性別歧視，促進性別地位實質平等之宣導、課程、教學、活動等，並包括學校或社區有關性別平等之家庭教育與社會教育</w:t>
      </w:r>
      <w:r w:rsidR="00D66536">
        <w:rPr>
          <w:rFonts w:ascii="標楷體" w:eastAsia="標楷體" w:hAnsi="標楷體" w:cs="新細明體" w:hint="eastAsia"/>
          <w:kern w:val="0"/>
          <w:szCs w:val="24"/>
        </w:rPr>
        <w:t>並訂定性別平等教育年度實施計畫，並落實檢視其成果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132" w:left="144" w:hangingChars="192" w:hanging="461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四、教育人員注意事項：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19" w:left="424" w:hangingChars="196" w:hanging="470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(一)本校招生及就學許可不得有性別或性傾向之差別待遇，並應尊重學生與教職員工之性別特質及性傾向。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="425" w:hangingChars="177" w:hanging="425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(二)不得因學生之性別或性傾向而給予教學、活動、評量、獎懲、福利及服務上之差別待遇。但性質僅適合特定性別者，不在此限。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22" w:left="0" w:hangingChars="22" w:hanging="53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(三)對因性別或性傾向而處於不利處境之學生，應積極提供協助，以改善其處境、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22" w:left="0" w:hangingChars="22" w:hanging="53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(四)對懷孕學生之受教權，應積極維護，並提供必要之協助，詳述如下: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1、入學資格：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354" w:left="850" w:firstLine="1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學生因懷孕或生產並持有證明者，得於註冊開始前，向學校申請保留入學資格，入學資格保留年限依學生懷孕、生產或哺育幼兒之需要申請。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2、修業期限：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firstLineChars="154" w:firstLine="370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學生因懷孕、生產或哺育幼兒之需要，得延長修業期限。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178" w:left="849" w:hangingChars="176" w:hanging="422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3、缺課及成績考核：學生因懷孕或哺育幼兒之照顧，而核准之事（病）假、產假，其缺席不扣分；致缺課時數逾全學期授課時數三分之一者，該科目成績得視需要與科目性質以補考或以其他補救措施彈性處理，補考成績並按實際成績計算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4、休學年限：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354" w:left="850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學生因懷孕、生產或為哺育幼兒申請休學者，其申請休學期間不計入休學年限。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178" w:left="847" w:hangingChars="175" w:hanging="420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5、請假規定：註冊、考試期間，學生因懷孕引發之事（病）假、產假，得持醫生證明辦理請假；或因哺育幼兒之突發狀況亦得辦理請假。學生因懷孕或哺育幼兒給假之假別，請參考現行相關法律規定明訂學生得請之假別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1" w:left="566" w:hangingChars="235" w:hanging="564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(五)教師於執行教學、指導、訓練、評鑑、管理、輔導或提供學生工作機會時，在與性或性別有關之人際互動上，須遵守專業倫理。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0" w:left="566" w:hangingChars="236" w:hanging="566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(六)教師發現其與學生間之關係有違反前項專業倫理之虞時，應主動迴避教學、指導、訓練、評鑑、管理、輔導或提供學生工作機會或陳報學校處理。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1" w:left="566" w:hangingChars="235" w:hanging="564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(七)教師在實施課程、教材與教學時，應符合性別平等之課程規劃與評量方式。教材之編寫、審查及選用，亦應符合性別平等教育原則。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74" w:left="0" w:hangingChars="74" w:hanging="178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五、學生注意事項：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1" w:left="567" w:hangingChars="237" w:hanging="569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 xml:space="preserve"> (一)應尊重他人或自己性或身體之自主，避免不受歡迎之追求行為，並不得以強制及暴力手段處理與性或性別有關之衝突。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1" w:left="566" w:hangingChars="235" w:hanging="564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lastRenderedPageBreak/>
        <w:t xml:space="preserve"> (二)凡本校學生遭受上述之不當言行對待而致身心不舒服時，可逕向學務處生輔組提出申請調查或檢舉，將依本校校園性侵害性騷擾或性霸凌處理機制處理。</w:t>
      </w:r>
    </w:p>
    <w:p w:rsidR="008D5C25" w:rsidRPr="003A1612" w:rsidRDefault="008D5C25" w:rsidP="008D5C25">
      <w:pPr>
        <w:widowControl/>
        <w:shd w:val="clear" w:color="auto" w:fill="FFFFFF"/>
        <w:snapToGrid w:val="0"/>
        <w:spacing w:line="320" w:lineRule="exact"/>
        <w:ind w:leftChars="60" w:left="566" w:hangingChars="176" w:hanging="422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(三)本校學生若違反本規定，經本校性別平教育委員會調查屬實後，必要時行為人得施予性別平等教育課程或依校規懲處。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74" w:left="283" w:hangingChars="192" w:hanging="461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六、為統整各單位相關資源，推動性別平等教育事務，應依性平法第六條規定設性別平等教育委員會，其設置辦法另訂。</w:t>
      </w:r>
    </w:p>
    <w:p w:rsidR="008D5C25" w:rsidRPr="003A1612" w:rsidRDefault="008D5C25" w:rsidP="00C00519">
      <w:pPr>
        <w:widowControl/>
        <w:shd w:val="clear" w:color="auto" w:fill="FFFFFF"/>
        <w:snapToGrid w:val="0"/>
        <w:spacing w:line="320" w:lineRule="exact"/>
        <w:ind w:leftChars="-118" w:left="286" w:hangingChars="237" w:hanging="569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 xml:space="preserve"> 七、本校除應將性別平等教育融入課程外，</w:t>
      </w:r>
      <w:r w:rsidR="00C00519">
        <w:rPr>
          <w:rFonts w:ascii="標楷體" w:eastAsia="標楷體" w:hAnsi="標楷體" w:cs="新細明體" w:hint="eastAsia"/>
          <w:kern w:val="0"/>
          <w:szCs w:val="24"/>
        </w:rPr>
        <w:t>以提升學生之性別平等意識。性別平等教育相關課程應涵蓋情感教育、性教育、認識及尊重不同性別、性</w:t>
      </w:r>
      <w:r w:rsidR="00AB5FBE">
        <w:rPr>
          <w:rFonts w:ascii="標楷體" w:eastAsia="標楷體" w:hAnsi="標楷體" w:cs="新細明體" w:hint="eastAsia"/>
          <w:kern w:val="0"/>
          <w:szCs w:val="24"/>
        </w:rPr>
        <w:t>別特徵、性別特質、性別認同、性傾向教育及性侵害、性騷擾、性霸凌防制教育等課程</w:t>
      </w:r>
      <w:r w:rsidRPr="003A161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8D5C25" w:rsidRPr="003A1612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74" w:left="0" w:hangingChars="74" w:hanging="178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八、對於因性別或性傾向而處於不利處境之學生應積極提供協助，以改善其處境。</w:t>
      </w:r>
    </w:p>
    <w:p w:rsidR="00922D43" w:rsidRDefault="008D5C25" w:rsidP="008D5C25">
      <w:pPr>
        <w:pStyle w:val="a3"/>
        <w:widowControl/>
        <w:shd w:val="clear" w:color="auto" w:fill="FFFFFF"/>
        <w:snapToGrid w:val="0"/>
        <w:spacing w:line="320" w:lineRule="exact"/>
        <w:ind w:leftChars="-59" w:left="28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3A1612">
        <w:rPr>
          <w:rFonts w:ascii="標楷體" w:eastAsia="標楷體" w:hAnsi="標楷體" w:cs="新細明體" w:hint="eastAsia"/>
          <w:kern w:val="0"/>
          <w:szCs w:val="24"/>
        </w:rPr>
        <w:t>九、本校應營造及維護性別平等學習環境，建立安全之校園空間，包括硬體之規劃與軟體之管</w:t>
      </w:r>
    </w:p>
    <w:p w:rsidR="008D5C25" w:rsidRPr="003A1612" w:rsidRDefault="00922D43" w:rsidP="008D5C25">
      <w:pPr>
        <w:pStyle w:val="a3"/>
        <w:widowControl/>
        <w:shd w:val="clear" w:color="auto" w:fill="FFFFFF"/>
        <w:snapToGrid w:val="0"/>
        <w:spacing w:line="320" w:lineRule="exact"/>
        <w:ind w:leftChars="-59" w:left="283" w:hangingChars="177" w:hanging="425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="008D5C25" w:rsidRPr="003A1612">
        <w:rPr>
          <w:rFonts w:ascii="標楷體" w:eastAsia="標楷體" w:hAnsi="標楷體" w:cs="新細明體" w:hint="eastAsia"/>
          <w:kern w:val="0"/>
          <w:szCs w:val="24"/>
        </w:rPr>
        <w:t>理。</w:t>
      </w:r>
    </w:p>
    <w:p w:rsidR="008D5C25" w:rsidRPr="003A1612" w:rsidRDefault="00C00519" w:rsidP="008D5C25">
      <w:pPr>
        <w:pStyle w:val="a3"/>
        <w:widowControl/>
        <w:shd w:val="clear" w:color="auto" w:fill="FFFFFF"/>
        <w:snapToGrid w:val="0"/>
        <w:spacing w:line="320" w:lineRule="exact"/>
        <w:ind w:leftChars="-59" w:left="424" w:hangingChars="236" w:hanging="56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十、本校性別事件防治教育及校園性別事件處理另依校園性別事件</w:t>
      </w:r>
      <w:r w:rsidR="008D5C25" w:rsidRPr="003A1612">
        <w:rPr>
          <w:rFonts w:ascii="標楷體" w:eastAsia="標楷體" w:hAnsi="標楷體" w:cs="新細明體" w:hint="eastAsia"/>
          <w:kern w:val="0"/>
          <w:szCs w:val="24"/>
        </w:rPr>
        <w:t>防治規定</w:t>
      </w:r>
      <w:r>
        <w:rPr>
          <w:rFonts w:ascii="標楷體" w:eastAsia="標楷體" w:hAnsi="標楷體" w:cs="新細明體" w:hint="eastAsia"/>
          <w:kern w:val="0"/>
          <w:szCs w:val="24"/>
        </w:rPr>
        <w:t>辦理</w:t>
      </w:r>
      <w:r w:rsidR="008D5C25" w:rsidRPr="003A1612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D66536" w:rsidRDefault="00D66536" w:rsidP="008D5C25">
      <w:pPr>
        <w:pStyle w:val="a3"/>
        <w:widowControl/>
        <w:shd w:val="clear" w:color="auto" w:fill="FFFFFF"/>
        <w:snapToGrid w:val="0"/>
        <w:spacing w:line="320" w:lineRule="exact"/>
        <w:ind w:leftChars="-59" w:left="566" w:hangingChars="295" w:hanging="708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十一、本校教職員工之職前教育、新進人員培訓及在職進修課程，納入性別平等教育之內容。</w:t>
      </w:r>
    </w:p>
    <w:p w:rsidR="008D5C25" w:rsidRPr="003A1612" w:rsidRDefault="00D66536" w:rsidP="008D5C25">
      <w:pPr>
        <w:pStyle w:val="a3"/>
        <w:widowControl/>
        <w:shd w:val="clear" w:color="auto" w:fill="FFFFFF"/>
        <w:snapToGrid w:val="0"/>
        <w:spacing w:line="320" w:lineRule="exact"/>
        <w:ind w:leftChars="-59" w:left="566" w:hangingChars="295" w:hanging="708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十二</w:t>
      </w:r>
      <w:r w:rsidR="008D5C25" w:rsidRPr="003A1612">
        <w:rPr>
          <w:rFonts w:ascii="標楷體" w:eastAsia="標楷體" w:hAnsi="標楷體" w:cs="新細明體" w:hint="eastAsia"/>
          <w:kern w:val="0"/>
          <w:szCs w:val="24"/>
        </w:rPr>
        <w:t>、本實施規定經行政會議性別平等教育委員會討論通過，</w:t>
      </w:r>
      <w:r w:rsidR="00C00519">
        <w:rPr>
          <w:rFonts w:ascii="標楷體" w:eastAsia="標楷體" w:hAnsi="標楷體" w:cs="新細明體" w:hint="eastAsia"/>
          <w:kern w:val="0"/>
          <w:szCs w:val="24"/>
        </w:rPr>
        <w:t>校務會議通過</w:t>
      </w:r>
      <w:r w:rsidR="008D5C25" w:rsidRPr="003A1612">
        <w:rPr>
          <w:rFonts w:ascii="標楷體" w:eastAsia="標楷體" w:hAnsi="標楷體" w:cs="新細明體" w:hint="eastAsia"/>
          <w:kern w:val="0"/>
          <w:szCs w:val="24"/>
        </w:rPr>
        <w:t>後實施，修訂時亦同。</w:t>
      </w:r>
    </w:p>
    <w:p w:rsidR="008D5C25" w:rsidRPr="003A1612" w:rsidRDefault="008D5C25" w:rsidP="008D5C25">
      <w:pPr>
        <w:pStyle w:val="style5"/>
        <w:spacing w:before="0" w:beforeAutospacing="0" w:after="0" w:afterAutospacing="0"/>
        <w:rPr>
          <w:rFonts w:ascii="標楷體" w:eastAsia="標楷體" w:hAnsi="標楷體"/>
          <w:b/>
          <w:sz w:val="28"/>
          <w:szCs w:val="28"/>
        </w:rPr>
      </w:pPr>
    </w:p>
    <w:p w:rsidR="00CF7878" w:rsidRPr="008D5C25" w:rsidRDefault="00CF7878"/>
    <w:sectPr w:rsidR="00CF7878" w:rsidRPr="008D5C25" w:rsidSect="008D5C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E5F" w:rsidRDefault="00FE0E5F" w:rsidP="00922D43">
      <w:r>
        <w:separator/>
      </w:r>
    </w:p>
  </w:endnote>
  <w:endnote w:type="continuationSeparator" w:id="0">
    <w:p w:rsidR="00FE0E5F" w:rsidRDefault="00FE0E5F" w:rsidP="0092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E5F" w:rsidRDefault="00FE0E5F" w:rsidP="00922D43">
      <w:r>
        <w:separator/>
      </w:r>
    </w:p>
  </w:footnote>
  <w:footnote w:type="continuationSeparator" w:id="0">
    <w:p w:rsidR="00FE0E5F" w:rsidRDefault="00FE0E5F" w:rsidP="00922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25"/>
    <w:rsid w:val="001573EB"/>
    <w:rsid w:val="002B57C3"/>
    <w:rsid w:val="00347F08"/>
    <w:rsid w:val="003553C5"/>
    <w:rsid w:val="0038346C"/>
    <w:rsid w:val="003E7DBF"/>
    <w:rsid w:val="003F0E9D"/>
    <w:rsid w:val="005538C8"/>
    <w:rsid w:val="00821E72"/>
    <w:rsid w:val="008D0C2D"/>
    <w:rsid w:val="008D5C25"/>
    <w:rsid w:val="00922D43"/>
    <w:rsid w:val="00944737"/>
    <w:rsid w:val="00AB5FBE"/>
    <w:rsid w:val="00B61735"/>
    <w:rsid w:val="00C00519"/>
    <w:rsid w:val="00CF7878"/>
    <w:rsid w:val="00D66536"/>
    <w:rsid w:val="00F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00AF54-527C-46BF-AD74-C264147C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25"/>
    <w:pPr>
      <w:ind w:leftChars="200" w:left="480"/>
    </w:pPr>
  </w:style>
  <w:style w:type="paragraph" w:customStyle="1" w:styleId="style5">
    <w:name w:val="style5"/>
    <w:basedOn w:val="a"/>
    <w:rsid w:val="008D5C2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2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2D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2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2D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學務處01</cp:lastModifiedBy>
  <cp:revision>2</cp:revision>
  <dcterms:created xsi:type="dcterms:W3CDTF">2025-12-17T05:26:00Z</dcterms:created>
  <dcterms:modified xsi:type="dcterms:W3CDTF">2025-12-17T05:26:00Z</dcterms:modified>
</cp:coreProperties>
</file>